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 (FDS)</w:t>
      </w:r>
    </w:p>
    <w:p>
      <w:pPr>
        <w:pStyle w:val="Normal"/>
        <w:rPr/>
      </w:pPr>
      <w:r>
        <w:rPr/>
        <w:t>Nom du produit : INSPIRÉ LOVE SPELL VICTORIA'S SECRET 10%</w:t>
      </w:r>
    </w:p>
    <w:p>
      <w:pPr>
        <w:pStyle w:val="Normal"/>
        <w:rPr/>
      </w:pPr>
      <w:r>
        <w:rPr/>
        <w:t>Date d’émission : 24/05/2025</w:t>
      </w:r>
    </w:p>
    <w:p>
      <w:pPr>
        <w:pStyle w:val="Normal"/>
        <w:rPr/>
      </w:pPr>
      <w:r>
        <w:rPr/>
        <w:t>Utilisation recommandée : Bougies parfumées / Fondants parfumés</w:t>
      </w:r>
    </w:p>
    <w:p>
      <w:pPr>
        <w:pStyle w:val="Normal"/>
        <w:rPr/>
      </w:pPr>
      <w:r>
        <w:rPr/>
        <w:t>Formulation : Fragrance à 10% dans une base non classée (cire/paraffine, etc.)</w:t>
      </w:r>
    </w:p>
    <w:p>
      <w:pPr>
        <w:pStyle w:val="Normal"/>
        <w:rPr/>
      </w:pPr>
      <w:r>
        <w:rPr/>
        <w:t>Conformité : Règlement CE 1907/2006 (REACH) &amp; CE 1272/2008 (CLP)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de produit : INSPIRÉ LOVE SPELL VICTORIA'S SECRET 10%</w:t>
      </w:r>
    </w:p>
    <w:p>
      <w:pPr>
        <w:pStyle w:val="Normal"/>
        <w:rPr/>
      </w:pPr>
      <w:r>
        <w:rPr/>
        <w:t>1.2 Utilisations identifiées pertinentes : Parfum pour bougies et fondants</w:t>
      </w:r>
    </w:p>
    <w:p>
      <w:pPr>
        <w:pStyle w:val="Normal"/>
        <w:rPr/>
      </w:pPr>
      <w:r>
        <w:rPr/>
        <w:t>1.3 Renseignements sur le fournisseur de la fiche de données de sécurité :</w:t>
      </w:r>
    </w:p>
    <w:p>
      <w:pPr>
        <w:pStyle w:val="Normal"/>
        <w:rPr/>
      </w:pPr>
      <w:r>
        <w:rPr/>
        <w:t xml:space="preserve">    </w:t>
      </w:r>
      <w:r>
        <w:rPr/>
        <w:t>Nom : AROMAS OF ELEGANCE</w:t>
      </w:r>
    </w:p>
    <w:p>
      <w:pPr>
        <w:pStyle w:val="Normal"/>
        <w:rPr/>
      </w:pPr>
      <w:r>
        <w:rPr/>
        <w:t xml:space="preserve">    </w:t>
      </w:r>
      <w:r>
        <w:rPr/>
        <w:t>Adresse : [À compléter]</w:t>
      </w:r>
    </w:p>
    <w:p>
      <w:pPr>
        <w:pStyle w:val="Normal"/>
        <w:rPr/>
      </w:pPr>
      <w:r>
        <w:rPr/>
        <w:t xml:space="preserve">    </w:t>
      </w:r>
      <w:r>
        <w:rPr/>
        <w:t>Téléphone : [À compléter]</w:t>
      </w:r>
    </w:p>
    <w:p>
      <w:pPr>
        <w:pStyle w:val="Normal"/>
        <w:rPr/>
      </w:pPr>
      <w:r>
        <w:rPr/>
        <w:t xml:space="preserve">    </w:t>
      </w:r>
      <w:r>
        <w:rPr/>
        <w:t>Email : [À compléter]</w:t>
      </w:r>
    </w:p>
    <w:p>
      <w:pPr>
        <w:pStyle w:val="Normal"/>
        <w:rPr/>
      </w:pPr>
      <w:r>
        <w:rPr/>
        <w:t>1.4 Numéro d'appel d'urgence : Centre antipoison local</w:t>
      </w:r>
    </w:p>
    <w:p>
      <w:pPr>
        <w:pStyle w:val="Normal"/>
        <w:rPr/>
      </w:pPr>
      <w:r>
        <w:rPr/>
        <w:t xml:space="preserve">Belgique 070,245,245 France </w:t>
      </w:r>
      <w:r>
        <w:rPr>
          <w:rFonts w:ascii="Google Sans" w:hAnsi="Google Sans"/>
          <w:b w:val="false"/>
          <w:i w:val="false"/>
          <w:caps w:val="false"/>
          <w:smallCaps w:val="false"/>
          <w:color w:val="1F1F1F"/>
          <w:spacing w:val="0"/>
          <w:sz w:val="14"/>
        </w:rPr>
        <w:t>03.83.32.36.36</w:t>
      </w:r>
      <w:r>
        <w:rPr/>
        <w:t xml:space="preserve"> 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n°1272/2008 (CLP) :</w:t>
      </w:r>
    </w:p>
    <w:p>
      <w:pPr>
        <w:pStyle w:val="Normal"/>
        <w:rPr/>
      </w:pPr>
      <w:r>
        <w:rPr/>
        <w:t xml:space="preserve">    </w:t>
      </w:r>
      <w:r>
        <w:rPr/>
        <w:t>- Skin Irrit. 2 - H315 : Provoque une irritation cutanée</w:t>
      </w:r>
    </w:p>
    <w:p>
      <w:pPr>
        <w:pStyle w:val="Normal"/>
        <w:rPr/>
      </w:pPr>
      <w:r>
        <w:rPr/>
        <w:t xml:space="preserve">    </w:t>
      </w:r>
      <w:r>
        <w:rPr/>
        <w:t>- Eye Irrit. 2 - H319 : Provoque une sévère irritation des yeux</w:t>
      </w:r>
    </w:p>
    <w:p>
      <w:pPr>
        <w:pStyle w:val="Normal"/>
        <w:rPr/>
      </w:pPr>
      <w:r>
        <w:rPr/>
        <w:t xml:space="preserve">    </w:t>
      </w:r>
      <w:r>
        <w:rPr/>
        <w:t>- Skin Sens. 1 - H317 : Peut provoquer une allergie cutanée</w:t>
      </w:r>
    </w:p>
    <w:p>
      <w:pPr>
        <w:pStyle w:val="Normal"/>
        <w:rPr/>
      </w:pPr>
      <w:r>
        <w:rPr/>
        <w:t xml:space="preserve">    </w:t>
      </w:r>
      <w:r>
        <w:rPr/>
        <w:t>- Aquatic Chronic 2 - H411 : Toxique pour les organismes aquatiques, entraîne des effets à long terme</w:t>
      </w:r>
    </w:p>
    <w:p>
      <w:pPr>
        <w:pStyle w:val="Normal"/>
        <w:rPr/>
      </w:pPr>
      <w:r>
        <w:rPr/>
        <w:t>2.2 Éléments d’étiquetage :</w:t>
      </w:r>
    </w:p>
    <w:p>
      <w:pPr>
        <w:pStyle w:val="Normal"/>
        <w:rPr/>
      </w:pPr>
      <w:r>
        <w:rPr/>
        <w:t xml:space="preserve">    </w:t>
      </w:r>
      <w:r>
        <w:rPr/>
        <w:t>Pictogrammes : [GHS07] [GHS09]</w:t>
      </w:r>
    </w:p>
    <w:p>
      <w:pPr>
        <w:pStyle w:val="Normal"/>
        <w:rPr/>
      </w:pPr>
      <w:r>
        <w:rPr/>
        <w:t xml:space="preserve">    </w:t>
      </w:r>
      <w:r>
        <w:rPr/>
        <w:t>Mention d’avertissement : Attention</w:t>
      </w:r>
    </w:p>
    <w:p>
      <w:pPr>
        <w:pStyle w:val="Normal"/>
        <w:rPr/>
      </w:pPr>
      <w:r>
        <w:rPr/>
        <w:t xml:space="preserve">    </w:t>
      </w:r>
      <w:r>
        <w:rPr/>
        <w:t>Mentions de danger : H315, H317, H319, H411</w:t>
      </w:r>
    </w:p>
    <w:p>
      <w:pPr>
        <w:pStyle w:val="Normal"/>
        <w:rPr/>
      </w:pPr>
      <w:r>
        <w:rPr/>
        <w:t xml:space="preserve">    </w:t>
      </w:r>
      <w:r>
        <w:rPr/>
        <w:t>Conseils de prudence : P261, P264, P273, P280, P302+P352, P305+P351+P338, P333+P313</w:t>
      </w:r>
    </w:p>
    <w:p>
      <w:pPr>
        <w:pStyle w:val="Titre1"/>
        <w:rPr/>
      </w:pPr>
      <w:r>
        <w:rPr/>
        <w:t>SECTION 3 : Composition/informations sur les composants</w:t>
      </w:r>
    </w:p>
    <w:p>
      <w:pPr>
        <w:pStyle w:val="Normal"/>
        <w:rPr/>
      </w:pPr>
      <w:r>
        <w:rPr/>
        <w:t>Ce mélange contient notamment (liste indicative) :</w:t>
      </w:r>
    </w:p>
    <w:p>
      <w:pPr>
        <w:pStyle w:val="Normal"/>
        <w:rPr/>
      </w:pPr>
      <w:r>
        <w:rPr/>
        <w:t xml:space="preserve">    </w:t>
      </w:r>
      <w:r>
        <w:rPr/>
        <w:t>- Linalool (CAS 78-70-6)</w:t>
      </w:r>
    </w:p>
    <w:p>
      <w:pPr>
        <w:pStyle w:val="Normal"/>
        <w:rPr/>
      </w:pPr>
      <w:r>
        <w:rPr/>
        <w:t xml:space="preserve">    </w:t>
      </w:r>
      <w:r>
        <w:rPr/>
        <w:t>- Benzyl salicylate (CAS 118-58-1)</w:t>
      </w:r>
    </w:p>
    <w:p>
      <w:pPr>
        <w:pStyle w:val="Normal"/>
        <w:rPr/>
      </w:pPr>
      <w:r>
        <w:rPr/>
        <w:t xml:space="preserve">    </w:t>
      </w:r>
      <w:r>
        <w:rPr/>
        <w:t>- Hexyl cinnamal (CAS 101-86-0)</w:t>
      </w:r>
    </w:p>
    <w:p>
      <w:pPr>
        <w:pStyle w:val="Normal"/>
        <w:rPr/>
      </w:pPr>
      <w:r>
        <w:rPr/>
        <w:t xml:space="preserve">    </w:t>
      </w:r>
      <w:r>
        <w:rPr/>
        <w:t>- Alpha-isomethyl ionone (CAS 127-51-5)</w:t>
      </w:r>
    </w:p>
    <w:p>
      <w:pPr>
        <w:pStyle w:val="Normal"/>
        <w:rPr/>
      </w:pPr>
      <w:r>
        <w:rPr/>
        <w:t xml:space="preserve">    </w:t>
      </w:r>
      <w:r>
        <w:rPr/>
        <w:t>- Citral (CAS 5392-40-5)</w:t>
      </w:r>
    </w:p>
    <w:p>
      <w:pPr>
        <w:pStyle w:val="Titre1"/>
        <w:rPr/>
      </w:pPr>
      <w:r>
        <w:rPr/>
        <w:t>SECTION 4 : Premiers secours</w:t>
      </w:r>
    </w:p>
    <w:p>
      <w:pPr>
        <w:pStyle w:val="Normal"/>
        <w:rPr/>
      </w:pPr>
      <w:r>
        <w:rPr/>
        <w:t>Inhalation : Transporter à l'air libre.</w:t>
      </w:r>
    </w:p>
    <w:p>
      <w:pPr>
        <w:pStyle w:val="Normal"/>
        <w:rPr/>
      </w:pPr>
      <w:r>
        <w:rPr/>
        <w:t>Contact peau : Laver abondamment à l'eau et au savon.</w:t>
      </w:r>
    </w:p>
    <w:p>
      <w:pPr>
        <w:pStyle w:val="Normal"/>
        <w:rPr/>
      </w:pPr>
      <w:r>
        <w:rPr/>
        <w:t>Contact yeux : Rincer avec précaution à l'eau.</w:t>
      </w:r>
    </w:p>
    <w:p>
      <w:pPr>
        <w:pStyle w:val="Normal"/>
        <w:rPr/>
      </w:pPr>
      <w:r>
        <w:rPr/>
        <w:t>Ingestion : Rincer la bouche,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Normal"/>
        <w:rPr/>
      </w:pPr>
      <w:r>
        <w:rPr/>
        <w:t>Moyens d’extinction : CO₂, poudre, mousse.</w:t>
      </w:r>
    </w:p>
    <w:p>
      <w:pPr>
        <w:pStyle w:val="Normal"/>
        <w:rPr/>
      </w:pPr>
      <w:r>
        <w:rPr/>
        <w:t>Dangers : fumées toxiques (CO, CO₂).</w:t>
      </w:r>
    </w:p>
    <w:p>
      <w:pPr>
        <w:pStyle w:val="Normal"/>
        <w:rPr/>
      </w:pPr>
      <w:r>
        <w:rPr/>
        <w:t>Équipement : protection respiratoire autonome.</w:t>
      </w:r>
    </w:p>
    <w:p>
      <w:pPr>
        <w:pStyle w:val="Titre1"/>
        <w:rPr/>
      </w:pPr>
      <w:r>
        <w:rPr/>
        <w:t>SECTION 6 : Mesures en cas de dispersion accidentelle</w:t>
      </w:r>
    </w:p>
    <w:p>
      <w:pPr>
        <w:pStyle w:val="Normal"/>
        <w:rPr/>
      </w:pPr>
      <w:r>
        <w:rPr/>
        <w:t>Équipements de protection individuelle.</w:t>
      </w:r>
    </w:p>
    <w:p>
      <w:pPr>
        <w:pStyle w:val="Normal"/>
        <w:rPr/>
      </w:pPr>
      <w:r>
        <w:rPr/>
        <w:t>Éviter rejets dans l’environnement.</w:t>
      </w:r>
    </w:p>
    <w:p>
      <w:pPr>
        <w:pStyle w:val="Normal"/>
        <w:rPr/>
      </w:pPr>
      <w:r>
        <w:rPr/>
        <w:t>Absorber avec matériau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Normal"/>
        <w:rPr/>
      </w:pPr>
      <w:r>
        <w:rPr/>
        <w:t>Manipuler dans un endroit bien ventilé.</w:t>
      </w:r>
    </w:p>
    <w:p>
      <w:pPr>
        <w:pStyle w:val="Normal"/>
        <w:rPr/>
      </w:pPr>
      <w:r>
        <w:rPr/>
        <w:t>Conserver fermé, à l’abri de la chaleur.</w:t>
      </w:r>
    </w:p>
    <w:p>
      <w:pPr>
        <w:pStyle w:val="Titre1"/>
        <w:rPr/>
      </w:pPr>
      <w:r>
        <w:rPr/>
        <w:t>SECTION 8 : Contrôles de l’exposition / protection individuelle</w:t>
      </w:r>
    </w:p>
    <w:p>
      <w:pPr>
        <w:pStyle w:val="Normal"/>
        <w:rPr/>
      </w:pPr>
      <w:r>
        <w:rPr/>
        <w:t>Masque si ventilation insuffisante.</w:t>
      </w:r>
    </w:p>
    <w:p>
      <w:pPr>
        <w:pStyle w:val="Normal"/>
        <w:rPr/>
      </w:pPr>
      <w:r>
        <w:rPr/>
        <w:t>Gants résistants, lunettes de sécurité.</w:t>
      </w:r>
    </w:p>
    <w:p>
      <w:pPr>
        <w:pStyle w:val="Normal"/>
        <w:rPr/>
      </w:pPr>
      <w:r>
        <w:rPr/>
        <w:t>Vêtements de protection adaptés.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Normal"/>
        <w:rPr/>
      </w:pPr>
      <w:r>
        <w:rPr/>
        <w:t>Aspect : Liquide huileux</w:t>
      </w:r>
    </w:p>
    <w:p>
      <w:pPr>
        <w:pStyle w:val="Normal"/>
        <w:rPr/>
      </w:pPr>
      <w:r>
        <w:rPr/>
        <w:t>Couleur : Jaune pâle</w:t>
      </w:r>
    </w:p>
    <w:p>
      <w:pPr>
        <w:pStyle w:val="Normal"/>
        <w:rPr/>
      </w:pPr>
      <w:r>
        <w:rPr/>
        <w:t>Odeur : Florale et fruitée</w:t>
      </w:r>
    </w:p>
    <w:p>
      <w:pPr>
        <w:pStyle w:val="Normal"/>
        <w:rPr/>
      </w:pPr>
      <w:r>
        <w:rPr/>
        <w:t>Point éclair : &gt;60 °C</w:t>
      </w:r>
    </w:p>
    <w:p>
      <w:pPr>
        <w:pStyle w:val="Normal"/>
        <w:rPr/>
      </w:pPr>
      <w:r>
        <w:rPr/>
        <w:t>Solubilité : Insoluble dans l'eau</w:t>
      </w:r>
    </w:p>
    <w:p>
      <w:pPr>
        <w:pStyle w:val="Normal"/>
        <w:rPr/>
      </w:pPr>
      <w:r>
        <w:rPr/>
        <w:t>Densité : ~1 g/cm³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Normal"/>
        <w:rPr/>
      </w:pPr>
      <w:r>
        <w:rPr/>
        <w:t>Stable en conditions normales.</w:t>
      </w:r>
    </w:p>
    <w:p>
      <w:pPr>
        <w:pStyle w:val="Normal"/>
        <w:rPr/>
      </w:pPr>
      <w:r>
        <w:rPr/>
        <w:t>Éviter la chaleur, matières oxydantes.</w:t>
      </w:r>
    </w:p>
    <w:p>
      <w:pPr>
        <w:pStyle w:val="Normal"/>
        <w:rPr/>
      </w:pPr>
      <w:r>
        <w:rPr/>
        <w:t>Produits de décomposition : CO, CO₂.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Normal"/>
        <w:rPr/>
      </w:pPr>
      <w:r>
        <w:rPr/>
        <w:t>Peut provoquer une allergie cutanée.</w:t>
      </w:r>
    </w:p>
    <w:p>
      <w:pPr>
        <w:pStyle w:val="Normal"/>
        <w:rPr/>
      </w:pPr>
      <w:r>
        <w:rPr/>
        <w:t>Pas d'effet mutagène ou cancérigène connu.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Normal"/>
        <w:rPr/>
      </w:pPr>
      <w:r>
        <w:rPr/>
        <w:t>H412 : Nocif pour les organismes aquatiques.</w:t>
      </w:r>
    </w:p>
    <w:p>
      <w:pPr>
        <w:pStyle w:val="Normal"/>
        <w:rPr/>
      </w:pPr>
      <w:r>
        <w:rPr/>
        <w:t>Éviter les rejets dans l’environnement.</w:t>
      </w:r>
    </w:p>
    <w:p>
      <w:pPr>
        <w:pStyle w:val="Titre1"/>
        <w:rPr/>
      </w:pPr>
      <w:r>
        <w:rPr/>
        <w:t>SECTION 13 : Élimination</w:t>
      </w:r>
    </w:p>
    <w:p>
      <w:pPr>
        <w:pStyle w:val="Normal"/>
        <w:rPr/>
      </w:pPr>
      <w:r>
        <w:rPr/>
        <w:t>Éliminer selon réglementation locale.</w:t>
      </w:r>
    </w:p>
    <w:p>
      <w:pPr>
        <w:pStyle w:val="Normal"/>
        <w:rPr/>
      </w:pPr>
      <w:r>
        <w:rPr/>
        <w:t>Recycler ou incinérer les emballages.</w:t>
      </w:r>
    </w:p>
    <w:p>
      <w:pPr>
        <w:pStyle w:val="Titre1"/>
        <w:rPr/>
      </w:pPr>
      <w:r>
        <w:rPr/>
        <w:t>SECTION 14 : Transport</w:t>
      </w:r>
    </w:p>
    <w:p>
      <w:pPr>
        <w:pStyle w:val="Normal"/>
        <w:rPr/>
      </w:pPr>
      <w:r>
        <w:rPr/>
        <w:t>Non classé dangereux selon ADR/IMDG/IATA.</w:t>
      </w:r>
    </w:p>
    <w:p>
      <w:pPr>
        <w:pStyle w:val="Normal"/>
        <w:rPr/>
      </w:pPr>
      <w:r>
        <w:rPr/>
        <w:t>Pas de numéro ONU applicable.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Normal"/>
        <w:rPr/>
      </w:pPr>
      <w:r>
        <w:rPr/>
        <w:t>Conforme aux règlements REACH/CLP.</w:t>
      </w:r>
    </w:p>
    <w:p>
      <w:pPr>
        <w:pStyle w:val="Titre1"/>
        <w:rPr/>
      </w:pPr>
      <w:r>
        <w:rPr/>
        <w:t>SECTION 16 : Autres informations</w:t>
      </w:r>
    </w:p>
    <w:p>
      <w:pPr>
        <w:pStyle w:val="Normal"/>
        <w:rPr/>
      </w:pPr>
      <w:r>
        <w:rPr/>
        <w:t>Mentions H : H317, H412.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Phrases P : P261, P273, P280, P302+P352, P333+P313.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ogle San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4</Pages>
  <Words>535</Words>
  <Characters>2986</Characters>
  <CharactersWithSpaces>3501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dc:language>fr-BE</dc:language>
  <cp:lastModifiedBy/>
  <dcterms:modified xsi:type="dcterms:W3CDTF">2025-05-24T18:44:01Z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