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principal"/>
        <w:rPr/>
      </w:pPr>
      <w:r>
        <w:rPr/>
        <w:t>FICHE DE DONNÉES DE SÉCURITÉ</w:t>
      </w:r>
    </w:p>
    <w:p>
      <w:pPr>
        <w:pStyle w:val="Titre1"/>
        <w:rPr/>
      </w:pPr>
      <w:r>
        <w:rPr/>
        <w:t>SECTION 1 : Identification de la substance/du mélange et de la société/l’entreprise</w:t>
      </w:r>
    </w:p>
    <w:p>
      <w:pPr>
        <w:pStyle w:val="Normal"/>
        <w:rPr/>
      </w:pPr>
      <w:r>
        <w:rPr/>
        <w:t>1.1 Identificateur du produit : Parfum "INSPIRE COCO MADEMOISELLE" – Concentration 10 %</w:t>
      </w:r>
    </w:p>
    <w:p>
      <w:pPr>
        <w:pStyle w:val="Normal"/>
        <w:rPr/>
      </w:pPr>
      <w:r>
        <w:rPr/>
        <w:t>1.2 Utilisations identifiées : Parfum pour bougies, fondants parfumés</w:t>
      </w:r>
    </w:p>
    <w:p>
      <w:pPr>
        <w:pStyle w:val="Normal"/>
        <w:rPr/>
      </w:pPr>
      <w:r>
        <w:rPr/>
        <w:t>1.3 Fournisseur : AROMAS OF ELEGANCE</w:t>
      </w:r>
    </w:p>
    <w:p>
      <w:pPr>
        <w:pStyle w:val="Normal"/>
        <w:rPr/>
      </w:pPr>
      <w:r>
        <w:rPr/>
        <w:t>1.4 Téléphone d’urgence :</w:t>
      </w:r>
    </w:p>
    <w:p>
      <w:pPr>
        <w:pStyle w:val="Normal"/>
        <w:rPr/>
      </w:pPr>
      <w:r>
        <w:rPr/>
        <w:t>Belgique : 070245245</w:t>
        <w:br/>
        <w:t>France : +33 (0)1 45 42 59 59</w:t>
      </w:r>
    </w:p>
    <w:p>
      <w:pPr>
        <w:pStyle w:val="Titre1"/>
        <w:rPr/>
      </w:pPr>
      <w:r>
        <w:rPr/>
        <w:t>SECTION 2 : Identification des dangers</w:t>
      </w:r>
    </w:p>
    <w:p>
      <w:pPr>
        <w:pStyle w:val="Normal"/>
        <w:rPr/>
      </w:pPr>
      <w:r>
        <w:rPr/>
        <w:t>2.1 Classification selon le règlement CE n° 1272/2008 (CLP)</w:t>
      </w:r>
    </w:p>
    <w:p>
      <w:pPr>
        <w:pStyle w:val="Normal"/>
        <w:rPr/>
      </w:pPr>
      <w:r>
        <w:rPr/>
        <w:t>H317 – Peut provoquer une allergie cutanée</w:t>
        <w:br/>
        <w:t>H411 – Toxique pour les organismes aquatiques, entraîne des effets à long terme</w:t>
      </w:r>
    </w:p>
    <w:p>
      <w:pPr>
        <w:pStyle w:val="Normal"/>
        <w:rPr/>
      </w:pPr>
      <w:r>
        <w:rPr/>
        <w:t>2.2 Éléments d’étiquetage</w:t>
      </w:r>
    </w:p>
    <w:p>
      <w:pPr>
        <w:pStyle w:val="Normal"/>
        <w:rPr/>
      </w:pPr>
      <w:r>
        <w:rPr/>
        <w:t>Mention d'avertissement : Attention</w:t>
        <w:br/>
        <w:t>Mentions de danger : H317, H411</w:t>
        <w:br/>
        <w:t>Conseils de prudence : P261, P272, P273, P280, P302+P352, P333+P313, P501</w:t>
      </w:r>
    </w:p>
    <w:p>
      <w:pPr>
        <w:pStyle w:val="Normal"/>
        <w:rPr/>
      </w:pPr>
      <w:r>
        <w:rPr/>
        <w:t>2.3 Autres dangers : Contient des allergènes parfumants : Limonene, Linalool, Geraniol, Citral, Coumarin (selon formulation exacte)</w:t>
      </w:r>
    </w:p>
    <w:p>
      <w:pPr>
        <w:pStyle w:val="Titre1"/>
        <w:rPr/>
      </w:pPr>
      <w:r>
        <w:rPr/>
        <w:t>SECTION 3 : Composition/informations sur les composants</w:t>
      </w:r>
    </w:p>
    <w:tbl>
      <w:tblPr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60"/>
        <w:gridCol w:w="2160"/>
        <w:gridCol w:w="2160"/>
        <w:gridCol w:w="2159"/>
      </w:tblGrid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Nom de l’ingrédient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N° CAS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% (approximatif)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Classification CLP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Limonene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5989-27-5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&lt;1 %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H226, H304, H315, H317, H410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Linalool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78-70-6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&lt;1 %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H315, H317, H319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Geraniol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106-24-1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&lt;1 %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H315, H317, H318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Citral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5392-40-5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&lt;1 %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H315, H317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Coumarin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91-64-5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&lt;1 %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H317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Mélange parfumant (propriétaire)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-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10 %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H317, H411</w:t>
            </w:r>
          </w:p>
        </w:tc>
      </w:tr>
    </w:tbl>
    <w:p>
      <w:pPr>
        <w:pStyle w:val="Titre1"/>
        <w:rPr/>
      </w:pPr>
      <w:r>
        <w:rPr/>
        <w:t>SECTION 4 : Premiers secours</w:t>
      </w:r>
    </w:p>
    <w:p>
      <w:pPr>
        <w:pStyle w:val="ListBullet"/>
        <w:numPr>
          <w:ilvl w:val="0"/>
          <w:numId w:val="1"/>
        </w:numPr>
        <w:rPr/>
      </w:pPr>
      <w:r>
        <w:rPr/>
        <w:t>EN CAS DE CONTACT AVEC LA PEAU : laver abondamment à l'eau et au savon.</w:t>
      </w:r>
    </w:p>
    <w:p>
      <w:pPr>
        <w:pStyle w:val="ListBullet"/>
        <w:numPr>
          <w:ilvl w:val="0"/>
          <w:numId w:val="1"/>
        </w:numPr>
        <w:rPr/>
      </w:pPr>
      <w:r>
        <w:rPr/>
        <w:t>EN CAS DE CONTACT AVEC LES YEUX : rincer avec précaution à l'eau pendant plusieurs minutes.</w:t>
      </w:r>
    </w:p>
    <w:p>
      <w:pPr>
        <w:pStyle w:val="ListBullet"/>
        <w:numPr>
          <w:ilvl w:val="0"/>
          <w:numId w:val="1"/>
        </w:numPr>
        <w:rPr/>
      </w:pPr>
      <w:r>
        <w:rPr/>
        <w:t>En cas de réaction allergique ou d'irritation persistante, consulter un médecin.</w:t>
      </w:r>
    </w:p>
    <w:p>
      <w:pPr>
        <w:pStyle w:val="Titre1"/>
        <w:rPr/>
      </w:pPr>
      <w:r>
        <w:rPr/>
        <w:t>SECTION 5 : Mesures de lutte contre l’incendie</w:t>
      </w:r>
    </w:p>
    <w:p>
      <w:pPr>
        <w:pStyle w:val="ListBullet"/>
        <w:numPr>
          <w:ilvl w:val="0"/>
          <w:numId w:val="1"/>
        </w:numPr>
        <w:rPr/>
      </w:pPr>
      <w:r>
        <w:rPr/>
        <w:t>Moyens d’extinction : mousse, dioxyde de carbone (CO2), poudres chimiques sèches.</w:t>
      </w:r>
    </w:p>
    <w:p>
      <w:pPr>
        <w:pStyle w:val="ListBullet"/>
        <w:numPr>
          <w:ilvl w:val="0"/>
          <w:numId w:val="1"/>
        </w:numPr>
        <w:rPr/>
      </w:pPr>
      <w:r>
        <w:rPr/>
        <w:t>Produits de combustion dangereux : oxydes de carbone.</w:t>
      </w:r>
    </w:p>
    <w:p>
      <w:pPr>
        <w:pStyle w:val="Titre1"/>
        <w:rPr/>
      </w:pPr>
      <w:r>
        <w:rPr/>
        <w:t>SECTION 6 : Mesures à prendre en cas de dispersion accidentelle</w:t>
      </w:r>
    </w:p>
    <w:p>
      <w:pPr>
        <w:pStyle w:val="ListBullet"/>
        <w:numPr>
          <w:ilvl w:val="0"/>
          <w:numId w:val="1"/>
        </w:numPr>
        <w:rPr/>
      </w:pPr>
      <w:r>
        <w:rPr/>
        <w:t>Éviter le contact avec la peau et les yeux.</w:t>
      </w:r>
    </w:p>
    <w:p>
      <w:pPr>
        <w:pStyle w:val="ListBullet"/>
        <w:numPr>
          <w:ilvl w:val="0"/>
          <w:numId w:val="1"/>
        </w:numPr>
        <w:rPr/>
      </w:pPr>
      <w:r>
        <w:rPr/>
        <w:t>Ventiler la zone. Récupérer le produit avec du matériel absorbant inerte.</w:t>
      </w:r>
    </w:p>
    <w:p>
      <w:pPr>
        <w:pStyle w:val="Titre1"/>
        <w:rPr/>
      </w:pPr>
      <w:r>
        <w:rPr/>
        <w:t>SECTION 7 : Manipulation et stockage</w:t>
      </w:r>
    </w:p>
    <w:p>
      <w:pPr>
        <w:pStyle w:val="ListBullet"/>
        <w:numPr>
          <w:ilvl w:val="0"/>
          <w:numId w:val="1"/>
        </w:numPr>
        <w:rPr/>
      </w:pPr>
      <w:r>
        <w:rPr/>
        <w:t>Manipuler dans un endroit bien ventilé.</w:t>
      </w:r>
    </w:p>
    <w:p>
      <w:pPr>
        <w:pStyle w:val="ListBullet"/>
        <w:numPr>
          <w:ilvl w:val="0"/>
          <w:numId w:val="1"/>
        </w:numPr>
        <w:rPr/>
      </w:pPr>
      <w:r>
        <w:rPr/>
        <w:t>Conserver à l’écart de la chaleur, des étincelles et des flammes nues.</w:t>
      </w:r>
    </w:p>
    <w:p>
      <w:pPr>
        <w:pStyle w:val="Titre1"/>
        <w:rPr/>
      </w:pPr>
      <w:r>
        <w:rPr/>
        <w:t>SECTION 8 : Contrôles de l’exposition/protection individuelle</w:t>
      </w:r>
    </w:p>
    <w:p>
      <w:pPr>
        <w:pStyle w:val="ListBullet"/>
        <w:numPr>
          <w:ilvl w:val="0"/>
          <w:numId w:val="1"/>
        </w:numPr>
        <w:rPr/>
      </w:pPr>
      <w:r>
        <w:rPr/>
        <w:t>Protection des mains : gants résistants aux produits chimiques.</w:t>
      </w:r>
    </w:p>
    <w:p>
      <w:pPr>
        <w:pStyle w:val="ListBullet"/>
        <w:numPr>
          <w:ilvl w:val="0"/>
          <w:numId w:val="1"/>
        </w:numPr>
        <w:rPr/>
      </w:pPr>
      <w:r>
        <w:rPr/>
        <w:t>Protection des yeux : lunettes de sécurité.</w:t>
      </w:r>
    </w:p>
    <w:p>
      <w:pPr>
        <w:pStyle w:val="Titre1"/>
        <w:rPr/>
      </w:pPr>
      <w:r>
        <w:rPr/>
        <w:t>SECTION 9 : Propriétés physiques et chimiques</w:t>
      </w:r>
    </w:p>
    <w:p>
      <w:pPr>
        <w:pStyle w:val="ListBullet"/>
        <w:numPr>
          <w:ilvl w:val="0"/>
          <w:numId w:val="1"/>
        </w:numPr>
        <w:rPr/>
      </w:pPr>
      <w:r>
        <w:rPr/>
        <w:t>Apparence : liquide parfumé</w:t>
      </w:r>
    </w:p>
    <w:p>
      <w:pPr>
        <w:pStyle w:val="ListBullet"/>
        <w:numPr>
          <w:ilvl w:val="0"/>
          <w:numId w:val="1"/>
        </w:numPr>
        <w:rPr/>
      </w:pPr>
      <w:r>
        <w:rPr/>
        <w:t>Couleur : variable</w:t>
      </w:r>
    </w:p>
    <w:p>
      <w:pPr>
        <w:pStyle w:val="ListBullet"/>
        <w:numPr>
          <w:ilvl w:val="0"/>
          <w:numId w:val="1"/>
        </w:numPr>
        <w:rPr/>
      </w:pPr>
      <w:r>
        <w:rPr/>
        <w:t>Odeur : caractéristique, florale fruitée</w:t>
      </w:r>
    </w:p>
    <w:p>
      <w:pPr>
        <w:pStyle w:val="ListBullet"/>
        <w:numPr>
          <w:ilvl w:val="0"/>
          <w:numId w:val="1"/>
        </w:numPr>
        <w:rPr/>
      </w:pPr>
      <w:r>
        <w:rPr/>
        <w:t>Point d’éclair : &gt; 60°C (estimé)</w:t>
      </w:r>
    </w:p>
    <w:p>
      <w:pPr>
        <w:pStyle w:val="Titre1"/>
        <w:rPr/>
      </w:pPr>
      <w:r>
        <w:rPr/>
        <w:t>SECTION 10 : Stabilité et réactivité</w:t>
      </w:r>
    </w:p>
    <w:p>
      <w:pPr>
        <w:pStyle w:val="ListBullet"/>
        <w:numPr>
          <w:ilvl w:val="0"/>
          <w:numId w:val="1"/>
        </w:numPr>
        <w:rPr/>
      </w:pPr>
      <w:r>
        <w:rPr/>
        <w:t>Produit stable dans des conditions normales.</w:t>
      </w:r>
    </w:p>
    <w:p>
      <w:pPr>
        <w:pStyle w:val="ListBullet"/>
        <w:numPr>
          <w:ilvl w:val="0"/>
          <w:numId w:val="1"/>
        </w:numPr>
        <w:rPr/>
      </w:pPr>
      <w:r>
        <w:rPr/>
        <w:t>Conditions à éviter : chaleur excessive, sources d'ignition.</w:t>
      </w:r>
    </w:p>
    <w:p>
      <w:pPr>
        <w:pStyle w:val="Titre1"/>
        <w:rPr/>
      </w:pPr>
      <w:r>
        <w:rPr/>
        <w:t>SECTION 11 : Informations toxicologiques</w:t>
      </w:r>
    </w:p>
    <w:p>
      <w:pPr>
        <w:pStyle w:val="ListBullet"/>
        <w:numPr>
          <w:ilvl w:val="0"/>
          <w:numId w:val="1"/>
        </w:numPr>
        <w:rPr/>
      </w:pPr>
      <w:r>
        <w:rPr/>
        <w:t>Peut provoquer une allergie cutanée.</w:t>
      </w:r>
    </w:p>
    <w:p>
      <w:pPr>
        <w:pStyle w:val="ListBullet"/>
        <w:numPr>
          <w:ilvl w:val="0"/>
          <w:numId w:val="1"/>
        </w:numPr>
        <w:rPr/>
      </w:pPr>
      <w:r>
        <w:rPr/>
        <w:t>L'exposition prolongée peut entraîner une irritation de la peau ou des yeux.</w:t>
      </w:r>
    </w:p>
    <w:p>
      <w:pPr>
        <w:pStyle w:val="Titre1"/>
        <w:rPr/>
      </w:pPr>
      <w:r>
        <w:rPr/>
        <w:t>SECTION 12 : Informations écologiques</w:t>
      </w:r>
    </w:p>
    <w:p>
      <w:pPr>
        <w:pStyle w:val="ListBullet"/>
        <w:numPr>
          <w:ilvl w:val="0"/>
          <w:numId w:val="1"/>
        </w:numPr>
        <w:rPr/>
      </w:pPr>
      <w:r>
        <w:rPr/>
        <w:t>Toxique pour les organismes aquatiques, entraîne des effets à long terme.</w:t>
      </w:r>
    </w:p>
    <w:p>
      <w:pPr>
        <w:pStyle w:val="ListBullet"/>
        <w:numPr>
          <w:ilvl w:val="0"/>
          <w:numId w:val="1"/>
        </w:numPr>
        <w:rPr/>
      </w:pPr>
      <w:r>
        <w:rPr/>
        <w:t>Éviter le rejet dans l’environnement.</w:t>
      </w:r>
    </w:p>
    <w:p>
      <w:pPr>
        <w:pStyle w:val="Titre1"/>
        <w:rPr/>
      </w:pPr>
      <w:r>
        <w:rPr/>
        <w:t>SECTION 13 : Considérations relatives à l’élimination</w:t>
      </w:r>
    </w:p>
    <w:p>
      <w:pPr>
        <w:pStyle w:val="ListBullet"/>
        <w:numPr>
          <w:ilvl w:val="0"/>
          <w:numId w:val="1"/>
        </w:numPr>
        <w:rPr/>
      </w:pPr>
      <w:r>
        <w:rPr/>
        <w:t>Éliminer conformément à la réglementation locale.</w:t>
      </w:r>
    </w:p>
    <w:p>
      <w:pPr>
        <w:pStyle w:val="ListBullet"/>
        <w:numPr>
          <w:ilvl w:val="0"/>
          <w:numId w:val="1"/>
        </w:numPr>
        <w:rPr/>
      </w:pPr>
      <w:r>
        <w:rPr/>
        <w:t>Ne pas rejeter les résidus dans les égouts.</w:t>
      </w:r>
    </w:p>
    <w:p>
      <w:pPr>
        <w:pStyle w:val="Titre1"/>
        <w:rPr/>
      </w:pPr>
      <w:r>
        <w:rPr/>
        <w:t>SECTION 14 : Informations relatives au transport</w:t>
      </w:r>
    </w:p>
    <w:p>
      <w:pPr>
        <w:pStyle w:val="ListBullet"/>
        <w:numPr>
          <w:ilvl w:val="0"/>
          <w:numId w:val="1"/>
        </w:numPr>
        <w:rPr/>
      </w:pPr>
      <w:r>
        <w:rPr/>
        <w:t>Non classé comme dangereux pour le transport.</w:t>
      </w:r>
    </w:p>
    <w:p>
      <w:pPr>
        <w:pStyle w:val="ListBullet"/>
        <w:numPr>
          <w:ilvl w:val="0"/>
          <w:numId w:val="1"/>
        </w:numPr>
        <w:rPr/>
      </w:pPr>
      <w:r>
        <w:rPr/>
        <w:t>Vérifier les réglementations locales.</w:t>
      </w:r>
    </w:p>
    <w:p>
      <w:pPr>
        <w:pStyle w:val="Titre1"/>
        <w:rPr/>
      </w:pPr>
      <w:r>
        <w:rPr/>
        <w:t>SECTION 15 : Informations réglementaires</w:t>
      </w:r>
    </w:p>
    <w:p>
      <w:pPr>
        <w:pStyle w:val="ListBullet"/>
        <w:numPr>
          <w:ilvl w:val="0"/>
          <w:numId w:val="1"/>
        </w:numPr>
        <w:rPr/>
      </w:pPr>
      <w:r>
        <w:rPr/>
        <w:t>Conforme au règlement (CE) n° 1907/2006 (REACH).</w:t>
      </w:r>
    </w:p>
    <w:p>
      <w:pPr>
        <w:pStyle w:val="Titre1"/>
        <w:rPr/>
      </w:pPr>
      <w:r>
        <w:rPr/>
        <w:t>SECTION 16 : Autres informations</w:t>
      </w:r>
    </w:p>
    <w:p>
      <w:pPr>
        <w:pStyle w:val="ListBullet"/>
        <w:numPr>
          <w:ilvl w:val="0"/>
          <w:numId w:val="1"/>
        </w:numPr>
        <w:rPr/>
      </w:pPr>
      <w:r>
        <w:rPr/>
        <w:t>Les informations fournies sont basées sur l’état actuel de nos connaissances.</w:t>
      </w:r>
    </w:p>
    <w:p>
      <w:pPr>
        <w:pStyle w:val="ListBullet"/>
        <w:numPr>
          <w:ilvl w:val="0"/>
          <w:numId w:val="1"/>
        </w:numPr>
        <w:spacing w:before="0" w:after="200"/>
        <w:contextualSpacing/>
        <w:rPr/>
      </w:pPr>
      <w:r>
        <w:rPr/>
        <w:t>Dernière révision : Générée automatiquement à la date du jour.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Titre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Titre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Accentuation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Entte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reprincipal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oustitr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List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Indexlexicaltitre">
    <w:name w:val="Index Heading"/>
    <w:basedOn w:val="Titre"/>
    <w:pPr/>
    <w:rPr/>
  </w:style>
  <w:style w:type="paragraph" w:styleId="Titr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Edit_Docx_PLUS/7.4.0.3$Windows_X86_64 LibreOffice_project/</Application>
  <AppVersion>15.0000</AppVersion>
  <Pages>3</Pages>
  <Words>536</Words>
  <Characters>2903</Characters>
  <CharactersWithSpaces>3331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fr-BE</dc:language>
  <cp:lastModifiedBy/>
  <dcterms:modified xsi:type="dcterms:W3CDTF">2013-12-23T23:15:00Z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