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32"/>
        </w:rPr>
        <w:t>FICHE DE DONNÉES DE SÉCURITÉ (FDS)</w:t>
      </w:r>
    </w:p>
    <w:p>
      <w:pPr>
        <w:pStyle w:val="Normal"/>
        <w:rPr/>
      </w:pPr>
      <w:r>
        <w:rPr/>
        <w:t>Produit : INSPIRER INVICTUS 7%</w:t>
      </w:r>
    </w:p>
    <w:p>
      <w:pPr>
        <w:pStyle w:val="Normal"/>
        <w:rPr/>
      </w:pPr>
      <w:r>
        <w:rPr/>
        <w:t>Date : 24/05/2025</w:t>
      </w:r>
    </w:p>
    <w:p>
      <w:pPr>
        <w:pStyle w:val="Normal"/>
        <w:rPr/>
      </w:pPr>
      <w:r>
        <w:rPr/>
        <w:t>Fournisseur : Aromas of Elegance</w:t>
      </w:r>
    </w:p>
    <w:p>
      <w:pPr>
        <w:pStyle w:val="Normal"/>
        <w:rPr/>
      </w:pPr>
      <w:r>
        <w:rPr/>
        <w:t>Type de produit : Mélange parfumant pour bougies/fondants</w:t>
      </w:r>
    </w:p>
    <w:p>
      <w:pPr>
        <w:pStyle w:val="Normal"/>
        <w:rPr/>
      </w:pPr>
      <w:r>
        <w:rPr/>
        <w:t>Notes olfactives : Fraîche / Boisée / Ambrée</w:t>
      </w:r>
    </w:p>
    <w:p>
      <w:pPr>
        <w:pStyle w:val="Normal"/>
        <w:rPr/>
      </w:pPr>
      <w:r>
        <w:rPr/>
        <w:t>Pyramide olfactive :</w:t>
      </w:r>
    </w:p>
    <w:p>
      <w:pPr>
        <w:pStyle w:val="Normal"/>
        <w:rPr/>
      </w:pPr>
      <w:r>
        <w:rPr/>
        <w:t xml:space="preserve">  </w:t>
      </w:r>
      <w:r>
        <w:rPr/>
        <w:t>- Tête : Ozone / Agrumes / Océan</w:t>
      </w:r>
    </w:p>
    <w:p>
      <w:pPr>
        <w:pStyle w:val="Normal"/>
        <w:rPr/>
      </w:pPr>
      <w:r>
        <w:rPr/>
        <w:t xml:space="preserve">  </w:t>
      </w:r>
      <w:r>
        <w:rPr/>
        <w:t>- Cœur : Patchouli / Bois de Gaïac</w:t>
      </w:r>
    </w:p>
    <w:p>
      <w:pPr>
        <w:pStyle w:val="Normal"/>
        <w:rPr/>
      </w:pPr>
      <w:r>
        <w:rPr/>
        <w:t xml:space="preserve">  </w:t>
      </w:r>
      <w:r>
        <w:rPr/>
        <w:t>- Fond : Ambre gris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tbl>
      <w:tblPr>
        <w:tblStyle w:val="TableGrid"/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Nom du produit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INSPIRER INVICTUS 7%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Utilisation recommandée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Parfum pour bougies, fondants, produits parfumés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Fournisseur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Aromas of Elegance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Adresse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[à compléter]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Téléphone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[à compléter]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Email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[à compléter]</w:t>
            </w:r>
          </w:p>
        </w:tc>
      </w:tr>
    </w:tbl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Classification selon le règlement (CE) n° 1272/2008 (CLP) :</w:t>
      </w:r>
    </w:p>
    <w:p>
      <w:pPr>
        <w:pStyle w:val="ListBullet"/>
        <w:numPr>
          <w:ilvl w:val="0"/>
          <w:numId w:val="1"/>
        </w:numPr>
        <w:rPr/>
      </w:pPr>
      <w:r>
        <w:rPr/>
        <w:t>H315 – Provoque une irritation cutanée</w:t>
      </w:r>
    </w:p>
    <w:p>
      <w:pPr>
        <w:pStyle w:val="ListBullet"/>
        <w:numPr>
          <w:ilvl w:val="0"/>
          <w:numId w:val="1"/>
        </w:numPr>
        <w:rPr/>
      </w:pPr>
      <w:r>
        <w:rPr/>
        <w:t>H317 – Peut provoquer une allergie cutanée</w:t>
      </w:r>
    </w:p>
    <w:p>
      <w:pPr>
        <w:pStyle w:val="ListBullet"/>
        <w:numPr>
          <w:ilvl w:val="0"/>
          <w:numId w:val="1"/>
        </w:numPr>
        <w:rPr/>
      </w:pPr>
      <w:r>
        <w:rPr/>
        <w:t>H319 – Provoque une sévère irritation des yeux</w:t>
      </w:r>
    </w:p>
    <w:p>
      <w:pPr>
        <w:pStyle w:val="ListBullet"/>
        <w:numPr>
          <w:ilvl w:val="0"/>
          <w:numId w:val="1"/>
        </w:numPr>
        <w:rPr/>
      </w:pPr>
      <w:r>
        <w:rPr/>
        <w:t>H411 – Toxique pour les organismes aquatiques, entraîne des effets néfastes à long terme</w:t>
      </w:r>
    </w:p>
    <w:p>
      <w:pPr>
        <w:pStyle w:val="Normal"/>
        <w:rPr/>
      </w:pPr>
      <w:r>
        <w:rPr/>
        <w:t>Pictogrammes de danger : GHS07, GHS09</w:t>
      </w:r>
    </w:p>
    <w:p>
      <w:pPr>
        <w:pStyle w:val="Normal"/>
        <w:rPr/>
      </w:pPr>
      <w:r>
        <w:rPr/>
        <w:t>Conseils de prudence : P261, P264, P272, P273, P280, P302+P352, P305+P351+P338, P333+P313, P337+P313, P362+P364, P501</w:t>
      </w:r>
    </w:p>
    <w:p>
      <w:pPr>
        <w:pStyle w:val="Titre1"/>
        <w:rPr/>
      </w:pPr>
      <w:r>
        <w:rPr/>
        <w:t>SECTION 3 : Composition/informations sur les composants</w:t>
      </w:r>
    </w:p>
    <w:tbl>
      <w:tblPr>
        <w:tblStyle w:val="TableGrid"/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Composant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N°CAS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Classification CLP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Limonene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5989-27-5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&lt;4%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H315, H317, H411, EUH208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Iso E Super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54464-57-2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&lt;3%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H411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Linalool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78-70-6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&lt;2%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H315, H317, H319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Hexyl cinnamal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101-86-0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&lt;1.5%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H317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Coumarin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91-64-5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&lt;1%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H317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Autres composants non dangereux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-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-</w:t>
            </w:r>
          </w:p>
        </w:tc>
      </w:tr>
    </w:tbl>
    <w:p>
      <w:pPr>
        <w:pStyle w:val="Titre1"/>
        <w:rPr/>
      </w:pPr>
      <w:r>
        <w:rPr/>
        <w:t>SECTIONS 4 à 16 : Résumé</w:t>
      </w:r>
    </w:p>
    <w:p>
      <w:pPr>
        <w:pStyle w:val="Normal"/>
        <w:rPr/>
      </w:pPr>
      <w:r>
        <w:rPr>
          <w:b/>
        </w:rPr>
        <w:t xml:space="preserve">Section 4 : </w:t>
      </w:r>
      <w:r>
        <w:rPr/>
        <w:t>Premiers secours : En cas de contact avec la peau ou les yeux, rincer abondamment. Consulter un médecin si l’irritation persiste.</w:t>
      </w:r>
    </w:p>
    <w:p>
      <w:pPr>
        <w:pStyle w:val="Normal"/>
        <w:rPr/>
      </w:pPr>
      <w:r>
        <w:rPr>
          <w:b/>
        </w:rPr>
        <w:t xml:space="preserve">Section 5 : </w:t>
      </w:r>
      <w:r>
        <w:rPr/>
        <w:t>Mesures de lutte contre l’incendie : Moyens d’extinction : mousse, CO₂, poudre sèche.</w:t>
      </w:r>
    </w:p>
    <w:p>
      <w:pPr>
        <w:pStyle w:val="Normal"/>
        <w:rPr/>
      </w:pPr>
      <w:r>
        <w:rPr>
          <w:b/>
        </w:rPr>
        <w:t xml:space="preserve">Section 6 : </w:t>
      </w:r>
      <w:r>
        <w:rPr/>
        <w:t>Déversement accidentel : Utiliser des matériaux absorbants inertes, éviter les rejets dans l’environnement.</w:t>
      </w:r>
    </w:p>
    <w:p>
      <w:pPr>
        <w:pStyle w:val="Normal"/>
        <w:rPr/>
      </w:pPr>
      <w:r>
        <w:rPr>
          <w:b/>
        </w:rPr>
        <w:t xml:space="preserve">Section 7 : </w:t>
      </w:r>
      <w:r>
        <w:rPr/>
        <w:t>Manipulation et stockage : Endroit frais, sec, ventilé, à l’abri de la lumière.</w:t>
      </w:r>
    </w:p>
    <w:p>
      <w:pPr>
        <w:pStyle w:val="Normal"/>
        <w:rPr/>
      </w:pPr>
      <w:r>
        <w:rPr>
          <w:b/>
        </w:rPr>
        <w:t xml:space="preserve">Section 8 : </w:t>
      </w:r>
      <w:r>
        <w:rPr/>
        <w:t>Protection individuelle : Gants, lunettes si contact prolongé.</w:t>
      </w:r>
    </w:p>
    <w:p>
      <w:pPr>
        <w:pStyle w:val="Normal"/>
        <w:rPr/>
      </w:pPr>
      <w:r>
        <w:rPr>
          <w:b/>
        </w:rPr>
        <w:t xml:space="preserve">Section 9 : </w:t>
      </w:r>
      <w:r>
        <w:rPr/>
        <w:t>Propriétés : Liquide, couleur jaune clair à ambrée, odeur florale/orangée.</w:t>
      </w:r>
    </w:p>
    <w:p>
      <w:pPr>
        <w:pStyle w:val="Normal"/>
        <w:rPr/>
      </w:pPr>
      <w:r>
        <w:rPr>
          <w:b/>
        </w:rPr>
        <w:t xml:space="preserve">Section 10 : </w:t>
      </w:r>
      <w:r>
        <w:rPr/>
        <w:t>Stabilité : Stable dans des conditions normales.</w:t>
      </w:r>
    </w:p>
    <w:p>
      <w:pPr>
        <w:pStyle w:val="Normal"/>
        <w:rPr/>
      </w:pPr>
      <w:r>
        <w:rPr>
          <w:b/>
        </w:rPr>
        <w:t xml:space="preserve">Section 11 : </w:t>
      </w:r>
      <w:r>
        <w:rPr/>
        <w:t>Toxicologie : Irritation et sensibilisation cutanée possible.</w:t>
      </w:r>
    </w:p>
    <w:p>
      <w:pPr>
        <w:pStyle w:val="Normal"/>
        <w:rPr/>
      </w:pPr>
      <w:r>
        <w:rPr>
          <w:b/>
        </w:rPr>
        <w:t xml:space="preserve">Section 12 : </w:t>
      </w:r>
      <w:r>
        <w:rPr/>
        <w:t>Écologie : Toxique pour les organismes aquatiques.</w:t>
      </w:r>
    </w:p>
    <w:p>
      <w:pPr>
        <w:pStyle w:val="Normal"/>
        <w:rPr/>
      </w:pPr>
      <w:r>
        <w:rPr>
          <w:b/>
        </w:rPr>
        <w:t xml:space="preserve">Section 13 : </w:t>
      </w:r>
      <w:r>
        <w:rPr/>
        <w:t>Élimination : Conformément aux réglementations locales.</w:t>
      </w:r>
    </w:p>
    <w:p>
      <w:pPr>
        <w:pStyle w:val="Normal"/>
        <w:rPr/>
      </w:pPr>
      <w:r>
        <w:rPr>
          <w:b/>
        </w:rPr>
        <w:t xml:space="preserve">Section 14 : </w:t>
      </w:r>
      <w:r>
        <w:rPr/>
        <w:t>Transport : Non classé comme dangereux à 7%.</w:t>
      </w:r>
    </w:p>
    <w:p>
      <w:pPr>
        <w:pStyle w:val="Normal"/>
        <w:rPr/>
      </w:pPr>
      <w:r>
        <w:rPr>
          <w:b/>
        </w:rPr>
        <w:t xml:space="preserve">Section 15 : </w:t>
      </w:r>
      <w:r>
        <w:rPr/>
        <w:t>Réglementation : Étiquetage conforme au CLP.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</w:rPr>
        <w:t xml:space="preserve">Section 16 : </w:t>
      </w:r>
      <w:r>
        <w:rPr/>
        <w:t>Autres infos : Conforme au règlement (CE) 1907/2006 (REACH).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BELGIQUE 070,245,245  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France 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33 (0)1 45 42 59 59.</w:t>
      </w:r>
    </w:p>
    <w:sectPr>
      <w:headerReference w:type="default" r:id="rId2"/>
      <w:type w:val="nextPage"/>
      <w:pgSz w:w="12240" w:h="15840"/>
      <w:pgMar w:left="1800" w:right="180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inline distT="0" distB="0" distL="0" distR="0">
          <wp:extent cx="2286000" cy="776605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Edit_Docx_PLUS/7.4.0.3$Windows_X86_64 LibreOffice_project/</Application>
  <AppVersion>15.0000</AppVersion>
  <Pages>2</Pages>
  <Words>400</Words>
  <Characters>2156</Characters>
  <CharactersWithSpaces>2487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dc:language>fr-BE</dc:language>
  <cp:lastModifiedBy/>
  <dcterms:modified xsi:type="dcterms:W3CDTF">2025-05-24T18:33:41Z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